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00937" w14:textId="23ABF21A" w:rsidR="003C38E7" w:rsidRDefault="00E21829">
      <w:pPr>
        <w:tabs>
          <w:tab w:val="left" w:pos="7118"/>
        </w:tabs>
        <w:spacing w:after="0" w:line="240" w:lineRule="auto"/>
        <w:jc w:val="center"/>
        <w:rPr>
          <w:b/>
          <w:bCs/>
          <w:sz w:val="28"/>
          <w:szCs w:val="28"/>
        </w:rPr>
      </w:pPr>
      <w:r>
        <w:rPr>
          <w:noProof/>
        </w:rPr>
        <w:drawing>
          <wp:anchor distT="0" distB="0" distL="114300" distR="114300" simplePos="0" relativeHeight="251659264" behindDoc="0" locked="0" layoutInCell="1" hidden="0" allowOverlap="1" wp14:anchorId="3C38DFA8" wp14:editId="0C074A0C">
            <wp:simplePos x="0" y="0"/>
            <wp:positionH relativeFrom="column">
              <wp:posOffset>452438</wp:posOffset>
            </wp:positionH>
            <wp:positionV relativeFrom="paragraph">
              <wp:posOffset>-149860</wp:posOffset>
            </wp:positionV>
            <wp:extent cx="1266825" cy="1223645"/>
            <wp:effectExtent l="0" t="0" r="0" b="0"/>
            <wp:wrapNone/>
            <wp:docPr id="219" name="image1.jpg" descr="A blue circle with white text and a let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blue circle with white text and a letter&#10;&#10;AI-generated content may be incorrect."/>
                    <pic:cNvPicPr preferRelativeResize="0"/>
                  </pic:nvPicPr>
                  <pic:blipFill>
                    <a:blip r:embed="rId5"/>
                    <a:srcRect/>
                    <a:stretch>
                      <a:fillRect/>
                    </a:stretch>
                  </pic:blipFill>
                  <pic:spPr>
                    <a:xfrm>
                      <a:off x="0" y="0"/>
                      <a:ext cx="1266825" cy="1223645"/>
                    </a:xfrm>
                    <a:prstGeom prst="rect">
                      <a:avLst/>
                    </a:prstGeom>
                    <a:ln/>
                  </pic:spPr>
                </pic:pic>
              </a:graphicData>
            </a:graphic>
          </wp:anchor>
        </w:drawing>
      </w:r>
      <w:r>
        <w:rPr>
          <w:b/>
          <w:bCs/>
          <w:sz w:val="28"/>
          <w:szCs w:val="28"/>
        </w:rPr>
        <w:t xml:space="preserve">Borough of </w:t>
      </w:r>
      <w:r>
        <w:rPr>
          <w:noProof/>
        </w:rPr>
        <mc:AlternateContent>
          <mc:Choice Requires="wps">
            <w:drawing>
              <wp:anchor distT="0" distB="0" distL="0" distR="0" simplePos="0" relativeHeight="251658240" behindDoc="1" locked="0" layoutInCell="1" hidden="0" allowOverlap="1" wp14:anchorId="717DC5DC" wp14:editId="5599233E">
                <wp:simplePos x="0" y="0"/>
                <wp:positionH relativeFrom="column">
                  <wp:posOffset>1709738</wp:posOffset>
                </wp:positionH>
                <wp:positionV relativeFrom="paragraph">
                  <wp:posOffset>-50481</wp:posOffset>
                </wp:positionV>
                <wp:extent cx="3305175" cy="809625"/>
                <wp:effectExtent l="0" t="0" r="0" b="0"/>
                <wp:wrapNone/>
                <wp:docPr id="218" name="Rectangle 218"/>
                <wp:cNvGraphicFramePr/>
                <a:graphic xmlns:a="http://schemas.openxmlformats.org/drawingml/2006/main">
                  <a:graphicData uri="http://schemas.microsoft.com/office/word/2010/wordprocessingShape">
                    <wps:wsp>
                      <wps:cNvSpPr/>
                      <wps:spPr>
                        <a:xfrm>
                          <a:off x="3698175" y="3379950"/>
                          <a:ext cx="3295650" cy="800100"/>
                        </a:xfrm>
                        <a:prstGeom prst="rect">
                          <a:avLst/>
                        </a:prstGeom>
                        <a:solidFill>
                          <a:srgbClr val="FFFFFF"/>
                        </a:solidFill>
                        <a:ln>
                          <a:noFill/>
                        </a:ln>
                      </wps:spPr>
                      <wps:txbx>
                        <w:txbxContent>
                          <w:p w14:paraId="62A81CE1" w14:textId="77777777" w:rsidR="003C38E7" w:rsidRDefault="00E21829">
                            <w:pPr>
                              <w:spacing w:after="0" w:line="240" w:lineRule="auto"/>
                              <w:jc w:val="center"/>
                              <w:textDirection w:val="btLr"/>
                            </w:pPr>
                            <w:r>
                              <w:rPr>
                                <w:rFonts w:ascii="Courgette" w:eastAsia="Courgette" w:hAnsi="Courgette" w:cs="Courgette"/>
                                <w:color w:val="2E75B5"/>
                                <w:sz w:val="84"/>
                              </w:rPr>
                              <w:t>Neptune City</w:t>
                            </w:r>
                          </w:p>
                          <w:p w14:paraId="6668CC1D" w14:textId="77777777" w:rsidR="003C38E7" w:rsidRDefault="003C38E7">
                            <w:pPr>
                              <w:spacing w:line="277" w:lineRule="auto"/>
                              <w:textDirection w:val="btLr"/>
                            </w:pPr>
                          </w:p>
                        </w:txbxContent>
                      </wps:txbx>
                      <wps:bodyPr spcFirstLastPara="1" wrap="square" lIns="91425" tIns="45700" rIns="91425" bIns="45700" anchor="t" anchorCtr="0">
                        <a:noAutofit/>
                      </wps:bodyPr>
                    </wps:wsp>
                  </a:graphicData>
                </a:graphic>
              </wp:anchor>
            </w:drawing>
          </mc:Choice>
          <mc:Fallback>
            <w:pict>
              <v:rect w14:anchorId="717DC5DC" id="Rectangle 218" o:spid="_x0000_s1026" style="position:absolute;left:0;text-align:left;margin-left:134.65pt;margin-top:-3.95pt;width:260.25pt;height:63.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" stroked="f">
                <v:textbox inset="2.53958mm,1.2694mm,2.53958mm,1.2694mm">
                  <w:txbxContent>
                    <w:p w14:paraId="62A81CE1" w14:textId="77777777" w:rsidR="003C38E7" w:rsidRDefault="00E21829">
                      <w:pPr>
                        <w:spacing w:after="0" w:line="240" w:lineRule="auto"/>
                        <w:jc w:val="center"/>
                        <w:textDirection w:val="btLr"/>
                      </w:pPr>
                      <w:r>
                        <w:rPr>
                          <w:rFonts w:ascii="Courgette" w:eastAsia="Courgette" w:hAnsi="Courgette" w:cs="Courgette"/>
                          <w:color w:val="2E75B5"/>
                          <w:sz w:val="84"/>
                        </w:rPr>
                        <w:t>Neptune City</w:t>
                      </w:r>
                    </w:p>
                    <w:p w14:paraId="6668CC1D" w14:textId="77777777" w:rsidR="003C38E7" w:rsidRDefault="003C38E7">
                      <w:pPr>
                        <w:spacing w:line="277" w:lineRule="auto"/>
                        <w:textDirection w:val="btLr"/>
                      </w:pPr>
                    </w:p>
                  </w:txbxContent>
                </v:textbox>
              </v:rect>
            </w:pict>
          </mc:Fallback>
        </mc:AlternateContent>
      </w:r>
      <w:bookmarkStart w:id="0" w:name="_heading=h.8xnc4ypum3bd" w:colFirst="0" w:colLast="0"/>
      <w:bookmarkEnd w:id="0"/>
    </w:p>
    <w:p w14:paraId="201E746D" w14:textId="77777777" w:rsidR="003C38E7" w:rsidRDefault="003C38E7">
      <w:pPr>
        <w:tabs>
          <w:tab w:val="left" w:pos="7118"/>
        </w:tabs>
        <w:spacing w:after="0" w:line="240" w:lineRule="auto"/>
        <w:jc w:val="center"/>
        <w:rPr>
          <w:sz w:val="28"/>
          <w:szCs w:val="28"/>
        </w:rPr>
      </w:pPr>
    </w:p>
    <w:p w14:paraId="4B652D5F" w14:textId="77777777" w:rsidR="003C38E7" w:rsidRDefault="003C38E7">
      <w:pPr>
        <w:spacing w:after="0" w:line="240" w:lineRule="auto"/>
        <w:jc w:val="center"/>
        <w:rPr>
          <w:sz w:val="16"/>
          <w:szCs w:val="16"/>
        </w:rPr>
      </w:pPr>
    </w:p>
    <w:p w14:paraId="038A8310" w14:textId="77777777" w:rsidR="003C38E7" w:rsidRDefault="00E21829">
      <w:pPr>
        <w:spacing w:after="0" w:line="240" w:lineRule="auto"/>
        <w:jc w:val="center"/>
        <w:rPr>
          <w:b/>
          <w:bCs/>
        </w:rPr>
      </w:pPr>
      <w:r>
        <w:rPr>
          <w:b/>
          <w:bCs/>
        </w:rPr>
        <w:t>106 West Sylvania Avenue</w:t>
      </w:r>
    </w:p>
    <w:p w14:paraId="73D29F5A" w14:textId="77777777" w:rsidR="003C38E7" w:rsidRDefault="00E21829">
      <w:pPr>
        <w:spacing w:after="0" w:line="240" w:lineRule="auto"/>
        <w:jc w:val="center"/>
        <w:rPr>
          <w:b/>
          <w:bCs/>
        </w:rPr>
      </w:pPr>
      <w:r>
        <w:rPr>
          <w:b/>
          <w:bCs/>
        </w:rPr>
        <w:t>Neptune City, New Jersey 07753</w:t>
      </w:r>
    </w:p>
    <w:p w14:paraId="723835C8" w14:textId="77777777" w:rsidR="003C38E7" w:rsidRDefault="00E21829">
      <w:pPr>
        <w:spacing w:after="0" w:line="240" w:lineRule="auto"/>
        <w:jc w:val="center"/>
      </w:pPr>
      <w:r>
        <w:t>732-776-7224</w:t>
      </w:r>
    </w:p>
    <w:p w14:paraId="71741DAF" w14:textId="77777777" w:rsidR="003C38E7" w:rsidRDefault="003C38E7">
      <w:pPr>
        <w:spacing w:after="0" w:line="240" w:lineRule="auto"/>
        <w:jc w:val="both"/>
      </w:pPr>
    </w:p>
    <w:p w14:paraId="686CC0AA" w14:textId="77777777" w:rsidR="00E21829" w:rsidRDefault="00E21829">
      <w:pPr>
        <w:spacing w:after="0" w:line="240" w:lineRule="auto"/>
        <w:jc w:val="both"/>
      </w:pPr>
    </w:p>
    <w:p w14:paraId="0EA3AF4C" w14:textId="77777777" w:rsidR="003C38E7" w:rsidRDefault="00E21829">
      <w:pPr>
        <w:spacing w:after="0" w:line="240" w:lineRule="auto"/>
        <w:jc w:val="center"/>
        <w:rPr>
          <w:b/>
          <w:bCs/>
          <w:sz w:val="28"/>
          <w:szCs w:val="28"/>
        </w:rPr>
      </w:pPr>
      <w:r>
        <w:rPr>
          <w:b/>
          <w:bCs/>
          <w:sz w:val="32"/>
          <w:szCs w:val="32"/>
        </w:rPr>
        <w:t>ANNUAL REASSESSMENT FAQ</w:t>
      </w:r>
    </w:p>
    <w:p w14:paraId="3888BFAA" w14:textId="77777777" w:rsidR="003C38E7" w:rsidRDefault="003C38E7">
      <w:pPr>
        <w:spacing w:after="0" w:line="240" w:lineRule="auto"/>
        <w:jc w:val="both"/>
        <w:rPr>
          <w:b/>
          <w:bCs/>
          <w:sz w:val="28"/>
          <w:szCs w:val="28"/>
        </w:rPr>
      </w:pPr>
    </w:p>
    <w:p w14:paraId="712DBA6A" w14:textId="77777777" w:rsidR="003C38E7" w:rsidRDefault="00E21829">
      <w:pPr>
        <w:spacing w:after="0" w:line="240" w:lineRule="auto"/>
        <w:jc w:val="both"/>
        <w:rPr>
          <w:b/>
          <w:bCs/>
          <w:sz w:val="28"/>
          <w:szCs w:val="28"/>
        </w:rPr>
      </w:pPr>
      <w:r>
        <w:rPr>
          <w:b/>
          <w:bCs/>
          <w:sz w:val="28"/>
          <w:szCs w:val="28"/>
        </w:rPr>
        <w:t xml:space="preserve">Background: Assessment Demonstration Program </w:t>
      </w:r>
    </w:p>
    <w:p w14:paraId="025576AA" w14:textId="77777777" w:rsidR="003C38E7" w:rsidRDefault="00E21829">
      <w:pPr>
        <w:spacing w:after="0" w:line="240" w:lineRule="auto"/>
        <w:jc w:val="both"/>
      </w:pPr>
      <w:r>
        <w:t xml:space="preserve">In 2013 Governor Christie signed into law the Assessment Demonstration Program (P.L. </w:t>
      </w:r>
      <w:proofErr w:type="gramStart"/>
      <w:r>
        <w:t>2013,c</w:t>
      </w:r>
      <w:proofErr w:type="gramEnd"/>
      <w:r>
        <w:t xml:space="preserve">15). Since 2014 Monmouth County has </w:t>
      </w:r>
      <w:r>
        <w:rPr>
          <w:u w:val="single"/>
        </w:rPr>
        <w:t>required</w:t>
      </w:r>
      <w:r>
        <w:t xml:space="preserve"> the Borough to perform annual reassessments of all properties to 100% of market value. </w:t>
      </w:r>
    </w:p>
    <w:p w14:paraId="23B5F881" w14:textId="77777777" w:rsidR="003C38E7" w:rsidRDefault="003C38E7">
      <w:pPr>
        <w:spacing w:after="0" w:line="240" w:lineRule="auto"/>
        <w:jc w:val="both"/>
      </w:pPr>
    </w:p>
    <w:p w14:paraId="170B2ECE" w14:textId="77777777" w:rsidR="003C38E7" w:rsidRDefault="00E21829">
      <w:pPr>
        <w:spacing w:after="0" w:line="240" w:lineRule="auto"/>
        <w:jc w:val="both"/>
        <w:rPr>
          <w:b/>
          <w:bCs/>
          <w:sz w:val="28"/>
          <w:szCs w:val="28"/>
        </w:rPr>
      </w:pPr>
      <w:r>
        <w:rPr>
          <w:b/>
          <w:bCs/>
          <w:sz w:val="28"/>
          <w:szCs w:val="28"/>
        </w:rPr>
        <w:t>The Process</w:t>
      </w:r>
    </w:p>
    <w:p w14:paraId="230F5953" w14:textId="77777777" w:rsidR="003C38E7" w:rsidRDefault="00E21829">
      <w:pPr>
        <w:spacing w:after="0" w:line="240" w:lineRule="auto"/>
        <w:jc w:val="both"/>
      </w:pPr>
      <w:r>
        <w:t xml:space="preserve">In November of each year, the Assessor reviews each property in Neptune City.  Based on current and prior year sales data, the assessments are adjusted up or down. In addition, each year a portion of the town is required to be inspected.  Around 350 properties are inspected with the entire Brough getting an inspection once during a </w:t>
      </w:r>
      <w:proofErr w:type="gramStart"/>
      <w:r>
        <w:t>5 year</w:t>
      </w:r>
      <w:proofErr w:type="gramEnd"/>
      <w:r>
        <w:t xml:space="preserve"> period.  </w:t>
      </w:r>
    </w:p>
    <w:p w14:paraId="1EE27961" w14:textId="77777777" w:rsidR="003C38E7" w:rsidRDefault="003C38E7">
      <w:pPr>
        <w:spacing w:after="0" w:line="240" w:lineRule="auto"/>
        <w:jc w:val="both"/>
      </w:pPr>
    </w:p>
    <w:p w14:paraId="715748DD" w14:textId="77777777" w:rsidR="003C38E7" w:rsidRDefault="00E21829">
      <w:pPr>
        <w:spacing w:after="0" w:line="240" w:lineRule="auto"/>
        <w:jc w:val="both"/>
        <w:rPr>
          <w:b/>
          <w:bCs/>
          <w:sz w:val="28"/>
          <w:szCs w:val="28"/>
        </w:rPr>
      </w:pPr>
      <w:r>
        <w:rPr>
          <w:b/>
          <w:bCs/>
          <w:sz w:val="28"/>
          <w:szCs w:val="28"/>
        </w:rPr>
        <w:t>Advantages</w:t>
      </w:r>
    </w:p>
    <w:p w14:paraId="3C934331" w14:textId="77777777" w:rsidR="003C38E7" w:rsidRDefault="00E21829">
      <w:pPr>
        <w:spacing w:after="0" w:line="240" w:lineRule="auto"/>
        <w:jc w:val="both"/>
      </w:pPr>
      <w:r>
        <w:t xml:space="preserve">There are advantages to this assessment program: </w:t>
      </w:r>
    </w:p>
    <w:p w14:paraId="788580D8" w14:textId="77777777" w:rsidR="003C38E7" w:rsidRDefault="00E21829">
      <w:pPr>
        <w:spacing w:after="0" w:line="240" w:lineRule="auto"/>
        <w:ind w:left="990" w:hanging="450"/>
        <w:jc w:val="both"/>
      </w:pPr>
      <w:r>
        <w:t>1</w:t>
      </w:r>
      <w:proofErr w:type="gramStart"/>
      <w:r>
        <w:t xml:space="preserve">) </w:t>
      </w:r>
      <w:r>
        <w:tab/>
      </w:r>
      <w:r>
        <w:t>It</w:t>
      </w:r>
      <w:proofErr w:type="gramEnd"/>
      <w:r>
        <w:t xml:space="preserve"> serves to annually provide more accurate and uniform property assessments for fairer distribution of the annual property tax </w:t>
      </w:r>
      <w:proofErr w:type="gramStart"/>
      <w:r>
        <w:t>levy;</w:t>
      </w:r>
      <w:proofErr w:type="gramEnd"/>
      <w:r>
        <w:t xml:space="preserve"> </w:t>
      </w:r>
    </w:p>
    <w:p w14:paraId="34ACDAB3" w14:textId="77777777" w:rsidR="003C38E7" w:rsidRDefault="00E21829">
      <w:pPr>
        <w:spacing w:after="0" w:line="240" w:lineRule="auto"/>
        <w:ind w:left="990" w:hanging="450"/>
        <w:jc w:val="both"/>
      </w:pPr>
      <w:r>
        <w:t>2</w:t>
      </w:r>
      <w:proofErr w:type="gramStart"/>
      <w:r>
        <w:t xml:space="preserve">) </w:t>
      </w:r>
      <w:r>
        <w:tab/>
        <w:t>Eliminates</w:t>
      </w:r>
      <w:proofErr w:type="gramEnd"/>
      <w:r>
        <w:t xml:space="preserve"> the need for very costly revaluations which can occur after years of various changes in the real estate market. Having a revaluation after years of an appreciating real estate market would result in a sudden substantial increase in your assessment and potentially your property taxes, instead of yearly gradual increases. </w:t>
      </w:r>
    </w:p>
    <w:p w14:paraId="664EE529" w14:textId="77777777" w:rsidR="003C38E7" w:rsidRDefault="00E21829">
      <w:pPr>
        <w:spacing w:after="0" w:line="240" w:lineRule="auto"/>
        <w:ind w:left="990" w:hanging="450"/>
        <w:jc w:val="both"/>
      </w:pPr>
      <w:r>
        <w:t>3)</w:t>
      </w:r>
      <w:r>
        <w:tab/>
        <w:t xml:space="preserve">Since taxes are intended to be split up amongst the property owners based on the market value of the properties, it is critical that the assessment process be uniform, accurate, fair and transparent. </w:t>
      </w:r>
    </w:p>
    <w:p w14:paraId="7BBA3174" w14:textId="77777777" w:rsidR="003C38E7" w:rsidRDefault="003C38E7">
      <w:pPr>
        <w:spacing w:after="0" w:line="240" w:lineRule="auto"/>
        <w:ind w:left="990" w:hanging="450"/>
        <w:jc w:val="both"/>
      </w:pPr>
    </w:p>
    <w:p w14:paraId="31082DFF" w14:textId="77777777" w:rsidR="003C38E7" w:rsidRDefault="00E21829">
      <w:pPr>
        <w:spacing w:after="0" w:line="240" w:lineRule="auto"/>
        <w:jc w:val="both"/>
        <w:rPr>
          <w:b/>
          <w:bCs/>
          <w:sz w:val="28"/>
          <w:szCs w:val="28"/>
        </w:rPr>
      </w:pPr>
      <w:r>
        <w:rPr>
          <w:b/>
          <w:bCs/>
          <w:sz w:val="28"/>
          <w:szCs w:val="28"/>
        </w:rPr>
        <w:t>Explanation of Terms</w:t>
      </w:r>
    </w:p>
    <w:p w14:paraId="21D9570C" w14:textId="77777777" w:rsidR="003C38E7" w:rsidRDefault="003C38E7">
      <w:pPr>
        <w:spacing w:after="0" w:line="240" w:lineRule="auto"/>
        <w:jc w:val="both"/>
        <w:rPr>
          <w:b/>
          <w:bCs/>
        </w:rPr>
      </w:pPr>
    </w:p>
    <w:p w14:paraId="729ABFC9" w14:textId="77777777" w:rsidR="00E21829" w:rsidRDefault="00E21829">
      <w:pPr>
        <w:spacing w:after="0" w:line="240" w:lineRule="auto"/>
        <w:jc w:val="both"/>
        <w:rPr>
          <w:b/>
          <w:bCs/>
        </w:rPr>
      </w:pPr>
      <w:r>
        <w:rPr>
          <w:b/>
          <w:bCs/>
        </w:rPr>
        <w:t>Tax Assessment</w:t>
      </w:r>
    </w:p>
    <w:p w14:paraId="29ED1ECF" w14:textId="7B151385" w:rsidR="003C38E7" w:rsidRDefault="00E21829">
      <w:pPr>
        <w:spacing w:after="0" w:line="240" w:lineRule="auto"/>
        <w:jc w:val="both"/>
      </w:pPr>
      <w:r>
        <w:t>An evaluation of your property to determine the property’s assessed value.</w:t>
      </w:r>
    </w:p>
    <w:p w14:paraId="08C3AE90" w14:textId="77777777" w:rsidR="003C38E7" w:rsidRDefault="003C38E7">
      <w:pPr>
        <w:spacing w:after="0" w:line="240" w:lineRule="auto"/>
        <w:jc w:val="both"/>
        <w:rPr>
          <w:b/>
          <w:bCs/>
        </w:rPr>
      </w:pPr>
    </w:p>
    <w:p w14:paraId="16FCA9EA" w14:textId="77777777" w:rsidR="00E21829" w:rsidRDefault="00E21829">
      <w:pPr>
        <w:spacing w:after="0" w:line="240" w:lineRule="auto"/>
        <w:jc w:val="both"/>
        <w:rPr>
          <w:b/>
          <w:bCs/>
        </w:rPr>
      </w:pPr>
      <w:r>
        <w:rPr>
          <w:b/>
          <w:bCs/>
        </w:rPr>
        <w:t>Property Taxes</w:t>
      </w:r>
    </w:p>
    <w:p w14:paraId="560C891A" w14:textId="5723E45D" w:rsidR="003C38E7" w:rsidRDefault="00E21829">
      <w:pPr>
        <w:spacing w:after="0" w:line="240" w:lineRule="auto"/>
        <w:jc w:val="both"/>
      </w:pPr>
      <w:r>
        <w:t>What you pay based on the assessed value of your property.  Individual property taxes are calculated by multiplying the general tax rate (see below) by the assessed value of your property.</w:t>
      </w:r>
    </w:p>
    <w:p w14:paraId="39F48C87" w14:textId="77777777" w:rsidR="003C38E7" w:rsidRDefault="003C38E7">
      <w:pPr>
        <w:spacing w:after="0" w:line="240" w:lineRule="auto"/>
        <w:jc w:val="both"/>
      </w:pPr>
    </w:p>
    <w:p w14:paraId="6B47D667" w14:textId="77777777" w:rsidR="00E21829" w:rsidRDefault="00E21829">
      <w:pPr>
        <w:spacing w:after="0" w:line="240" w:lineRule="auto"/>
        <w:jc w:val="both"/>
        <w:rPr>
          <w:b/>
          <w:bCs/>
        </w:rPr>
      </w:pPr>
      <w:r>
        <w:rPr>
          <w:b/>
          <w:bCs/>
        </w:rPr>
        <w:t>Tax Rate</w:t>
      </w:r>
    </w:p>
    <w:p w14:paraId="75BFE7F6" w14:textId="3B84A8AD" w:rsidR="003C38E7" w:rsidRDefault="00E21829">
      <w:pPr>
        <w:spacing w:after="0" w:line="240" w:lineRule="auto"/>
        <w:jc w:val="both"/>
      </w:pPr>
      <w:r>
        <w:t xml:space="preserve">The Borough’s general tax rate is calculated by dividing the total dollar amount needed to meet expenses by the total assessed value of all taxable property. </w:t>
      </w:r>
    </w:p>
    <w:p w14:paraId="5E32CF29" w14:textId="77777777" w:rsidR="003C38E7" w:rsidRDefault="003C38E7">
      <w:pPr>
        <w:spacing w:after="0" w:line="240" w:lineRule="auto"/>
        <w:jc w:val="both"/>
      </w:pPr>
    </w:p>
    <w:p w14:paraId="5E424F67" w14:textId="77777777" w:rsidR="003C38E7" w:rsidRDefault="00E21829">
      <w:pPr>
        <w:spacing w:after="0" w:line="240" w:lineRule="auto"/>
        <w:jc w:val="both"/>
        <w:rPr>
          <w:b/>
          <w:bCs/>
          <w:sz w:val="28"/>
          <w:szCs w:val="28"/>
        </w:rPr>
      </w:pPr>
      <w:r>
        <w:rPr>
          <w:b/>
          <w:bCs/>
          <w:sz w:val="28"/>
          <w:szCs w:val="28"/>
        </w:rPr>
        <w:t>County, municipal and school budget costs determine the amount of property tax to be paid.</w:t>
      </w:r>
    </w:p>
    <w:p w14:paraId="30ED17C2" w14:textId="77777777" w:rsidR="003C38E7" w:rsidRDefault="00E21829">
      <w:pPr>
        <w:spacing w:after="0" w:line="240" w:lineRule="auto"/>
        <w:jc w:val="both"/>
      </w:pPr>
      <w:r>
        <w:t xml:space="preserve">New Jersey’s property tax system is revenue-neutral, meaning that a reassessment does not generate additional tax revenue for the Borough.  Property taxes are a result of the municipal budget process. Each year the Borough, </w:t>
      </w:r>
      <w:r>
        <w:lastRenderedPageBreak/>
        <w:t xml:space="preserve">County, and School certify their budgets (how much it will cost for the provision of services).  Typically, in July these budgets are divided into the total assessed value of Neptune City which will create the tax rate for the year.  </w:t>
      </w:r>
    </w:p>
    <w:p w14:paraId="12B53230" w14:textId="77777777" w:rsidR="003C38E7" w:rsidRDefault="003C38E7">
      <w:pPr>
        <w:spacing w:after="0" w:line="240" w:lineRule="auto"/>
        <w:jc w:val="both"/>
      </w:pPr>
    </w:p>
    <w:p w14:paraId="4C532491" w14:textId="77777777" w:rsidR="003C38E7" w:rsidRDefault="00E21829">
      <w:pPr>
        <w:spacing w:after="0" w:line="240" w:lineRule="auto"/>
        <w:jc w:val="both"/>
      </w:pPr>
      <w:r>
        <w:t xml:space="preserve">While your total taxes (yearly tax </w:t>
      </w:r>
      <w:proofErr w:type="gramStart"/>
      <w:r>
        <w:t>rate times</w:t>
      </w:r>
      <w:proofErr w:type="gramEnd"/>
      <w:r>
        <w:t xml:space="preserve"> assessment) are paid to the Borough, the Borough also collects and remits the County and School taxes based on each of their certified budgets.  The Borough only has control over the municipal tax levy.  As the value of Neptune City has gone up each year since 2015, in turn the tax rate has decreased each year.</w:t>
      </w:r>
    </w:p>
    <w:p w14:paraId="2CAEB34E" w14:textId="77777777" w:rsidR="003C38E7" w:rsidRDefault="003C38E7">
      <w:pPr>
        <w:spacing w:after="0" w:line="240" w:lineRule="auto"/>
        <w:jc w:val="both"/>
      </w:pPr>
    </w:p>
    <w:p w14:paraId="45218F01" w14:textId="77777777" w:rsidR="003C38E7" w:rsidRDefault="00E21829">
      <w:pPr>
        <w:spacing w:after="0" w:line="240" w:lineRule="auto"/>
        <w:jc w:val="both"/>
        <w:rPr>
          <w:b/>
          <w:bCs/>
          <w:sz w:val="28"/>
          <w:szCs w:val="28"/>
        </w:rPr>
      </w:pPr>
      <w:r>
        <w:rPr>
          <w:b/>
          <w:bCs/>
          <w:sz w:val="28"/>
          <w:szCs w:val="28"/>
        </w:rPr>
        <w:t>What triggers an increase in property taxes in New Jersey?</w:t>
      </w:r>
    </w:p>
    <w:p w14:paraId="3377E0C5" w14:textId="77777777" w:rsidR="003C38E7" w:rsidRDefault="00E21829">
      <w:pPr>
        <w:spacing w:after="0" w:line="240" w:lineRule="auto"/>
        <w:jc w:val="both"/>
      </w:pPr>
      <w:r>
        <w:t xml:space="preserve">Keep in mind that while renovations and improvements to a home can increase a property’s assessed value, home values rise and fall based on supply and demand and economic conditions as well as the desirability and value of an area. </w:t>
      </w:r>
    </w:p>
    <w:p w14:paraId="18F6C361" w14:textId="77777777" w:rsidR="003C38E7" w:rsidRDefault="003C38E7">
      <w:pPr>
        <w:spacing w:after="0" w:line="240" w:lineRule="auto"/>
        <w:jc w:val="both"/>
      </w:pPr>
    </w:p>
    <w:p w14:paraId="4DB22399" w14:textId="77777777" w:rsidR="003C38E7" w:rsidRDefault="00E21829">
      <w:pPr>
        <w:spacing w:after="0" w:line="240" w:lineRule="auto"/>
        <w:jc w:val="both"/>
        <w:rPr>
          <w:b/>
          <w:bCs/>
          <w:sz w:val="28"/>
          <w:szCs w:val="28"/>
        </w:rPr>
      </w:pPr>
      <w:r>
        <w:rPr>
          <w:b/>
          <w:bCs/>
          <w:sz w:val="28"/>
          <w:szCs w:val="28"/>
        </w:rPr>
        <w:t>Appeals</w:t>
      </w:r>
    </w:p>
    <w:p w14:paraId="460C89BC" w14:textId="77777777" w:rsidR="003C38E7" w:rsidRDefault="00E21829">
      <w:pPr>
        <w:spacing w:after="0" w:line="240" w:lineRule="auto"/>
        <w:jc w:val="both"/>
      </w:pPr>
      <w:r>
        <w:t xml:space="preserve">Each November you will receive a notice of assessment post card.  This will show your new assessment for next year.  If you feel this assessment is not what your property would sell for, then you can file an assessment appeal by January 15th (you cannot appeal your tax dollars). The appeal directions are on the back of the post </w:t>
      </w:r>
      <w:proofErr w:type="gramStart"/>
      <w:r>
        <w:t>card</w:t>
      </w:r>
      <w:proofErr w:type="gramEnd"/>
      <w:r>
        <w:t xml:space="preserve"> and it is filed with the Monmouth County Tax Board.</w:t>
      </w:r>
    </w:p>
    <w:p w14:paraId="6A0CD360" w14:textId="77777777" w:rsidR="003C38E7" w:rsidRDefault="003C38E7">
      <w:pPr>
        <w:spacing w:after="0" w:line="240" w:lineRule="auto"/>
        <w:jc w:val="both"/>
      </w:pPr>
    </w:p>
    <w:p w14:paraId="0916012A" w14:textId="77777777" w:rsidR="003C38E7" w:rsidRDefault="00E21829">
      <w:pPr>
        <w:spacing w:after="0" w:line="240" w:lineRule="auto"/>
        <w:jc w:val="both"/>
        <w:rPr>
          <w:color w:val="EE0000"/>
        </w:rPr>
      </w:pPr>
      <w:r>
        <w:t xml:space="preserve">To be successful with an appeal you </w:t>
      </w:r>
      <w:proofErr w:type="gramStart"/>
      <w:r>
        <w:t>have to</w:t>
      </w:r>
      <w:proofErr w:type="gramEnd"/>
      <w:r>
        <w:t xml:space="preserve"> show comparable sales evidence that your assessment exceeds the market value of your property (you cannot use other assessments as evidence).  It is recommended that you review the comparable sales data in advance of filing the appeal to ensure you have a case.</w:t>
      </w:r>
      <w:r>
        <w:rPr>
          <w:color w:val="EE0000"/>
        </w:rPr>
        <w:t xml:space="preserve">  </w:t>
      </w:r>
    </w:p>
    <w:p w14:paraId="2C376254" w14:textId="77777777" w:rsidR="003C38E7" w:rsidRDefault="003C38E7">
      <w:pPr>
        <w:spacing w:after="0" w:line="240" w:lineRule="auto"/>
        <w:jc w:val="both"/>
      </w:pPr>
    </w:p>
    <w:p w14:paraId="63C40196" w14:textId="77777777" w:rsidR="003C38E7" w:rsidRDefault="00E21829">
      <w:pPr>
        <w:spacing w:after="0" w:line="240" w:lineRule="auto"/>
        <w:jc w:val="both"/>
      </w:pPr>
      <w:r>
        <w:t xml:space="preserve">If you have any specific assessment questions you can contact the Borough Tax Assessor, William FitzPatrick at 908-675-5987 or </w:t>
      </w:r>
      <w:hyperlink r:id="rId6">
        <w:r>
          <w:rPr>
            <w:color w:val="0563C1"/>
            <w:u w:val="single"/>
          </w:rPr>
          <w:t>wfitzpatrick@neptunecitynj.com</w:t>
        </w:r>
      </w:hyperlink>
    </w:p>
    <w:sectPr w:rsidR="003C38E7">
      <w:pgSz w:w="12240" w:h="15840"/>
      <w:pgMar w:top="576" w:right="576" w:bottom="576" w:left="576" w:header="288" w:footer="28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CB54DC8-9E8F-4A3B-ACDB-37102D4CB093}"/>
    <w:embedBold r:id="rId2" w:fontKey="{DBFD4189-CD17-4883-94B7-E459A0C64D42}"/>
    <w:embedItalic r:id="rId3" w:fontKey="{B71A84BB-71F6-4174-BC6A-2414999541F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49B342F7-3F52-4121-87BA-F11F2813C812}"/>
  </w:font>
  <w:font w:name="Courgette">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8E7"/>
    <w:rsid w:val="003C38E7"/>
    <w:rsid w:val="00925AB2"/>
    <w:rsid w:val="00E21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0D643"/>
  <w15:docId w15:val="{3EB024C0-12FD-4DEE-A01C-6D8D17EB8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DC29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29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29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DC29C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C29C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C29C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C29C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C29C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C29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29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29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29C5"/>
    <w:rPr>
      <w:rFonts w:eastAsiaTheme="majorEastAsia" w:cstheme="majorBidi"/>
      <w:color w:val="272727" w:themeColor="text1" w:themeTint="D8"/>
    </w:rPr>
  </w:style>
  <w:style w:type="character" w:customStyle="1" w:styleId="TitleChar">
    <w:name w:val="Title Char"/>
    <w:basedOn w:val="DefaultParagraphFont"/>
    <w:link w:val="Title"/>
    <w:uiPriority w:val="10"/>
    <w:rsid w:val="00DC29C5"/>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C29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29C5"/>
    <w:pPr>
      <w:spacing w:before="160"/>
      <w:jc w:val="center"/>
    </w:pPr>
    <w:rPr>
      <w:i/>
      <w:iCs/>
      <w:color w:val="404040" w:themeColor="text1" w:themeTint="BF"/>
    </w:rPr>
  </w:style>
  <w:style w:type="character" w:customStyle="1" w:styleId="QuoteChar">
    <w:name w:val="Quote Char"/>
    <w:basedOn w:val="DefaultParagraphFont"/>
    <w:link w:val="Quote"/>
    <w:uiPriority w:val="29"/>
    <w:rsid w:val="00DC29C5"/>
    <w:rPr>
      <w:i/>
      <w:iCs/>
      <w:color w:val="404040" w:themeColor="text1" w:themeTint="BF"/>
    </w:rPr>
  </w:style>
  <w:style w:type="paragraph" w:styleId="ListParagraph">
    <w:name w:val="List Paragraph"/>
    <w:basedOn w:val="Normal"/>
    <w:uiPriority w:val="34"/>
    <w:qFormat/>
    <w:rsid w:val="00DC29C5"/>
    <w:pPr>
      <w:ind w:left="720"/>
      <w:contextualSpacing/>
    </w:pPr>
  </w:style>
  <w:style w:type="character" w:styleId="IntenseEmphasis">
    <w:name w:val="Intense Emphasis"/>
    <w:basedOn w:val="DefaultParagraphFont"/>
    <w:uiPriority w:val="21"/>
    <w:qFormat/>
    <w:rsid w:val="00DC29C5"/>
    <w:rPr>
      <w:i/>
      <w:iCs/>
      <w:color w:val="2F5496" w:themeColor="accent1" w:themeShade="BF"/>
    </w:rPr>
  </w:style>
  <w:style w:type="paragraph" w:styleId="IntenseQuote">
    <w:name w:val="Intense Quote"/>
    <w:basedOn w:val="Normal"/>
    <w:next w:val="Normal"/>
    <w:link w:val="IntenseQuoteChar"/>
    <w:uiPriority w:val="30"/>
    <w:qFormat/>
    <w:rsid w:val="00DC29C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C29C5"/>
    <w:rPr>
      <w:i/>
      <w:iCs/>
      <w:color w:val="2F5496" w:themeColor="accent1" w:themeShade="BF"/>
    </w:rPr>
  </w:style>
  <w:style w:type="character" w:styleId="IntenseReference">
    <w:name w:val="Intense Reference"/>
    <w:basedOn w:val="DefaultParagraphFont"/>
    <w:uiPriority w:val="32"/>
    <w:qFormat/>
    <w:rsid w:val="00DC29C5"/>
    <w:rPr>
      <w:b/>
      <w:bCs/>
      <w:smallCaps/>
      <w:color w:val="2F5496" w:themeColor="accent1" w:themeShade="BF"/>
      <w:spacing w:val="5"/>
    </w:rPr>
  </w:style>
  <w:style w:type="character" w:styleId="Hyperlink">
    <w:name w:val="Hyperlink"/>
    <w:basedOn w:val="DefaultParagraphFont"/>
    <w:uiPriority w:val="99"/>
    <w:unhideWhenUsed/>
    <w:rsid w:val="001779C7"/>
    <w:rPr>
      <w:color w:val="0563C1" w:themeColor="hyperlink"/>
      <w:u w:val="single"/>
    </w:rPr>
  </w:style>
  <w:style w:type="character" w:styleId="UnresolvedMention">
    <w:name w:val="Unresolved Mention"/>
    <w:basedOn w:val="DefaultParagraphFont"/>
    <w:uiPriority w:val="99"/>
    <w:semiHidden/>
    <w:unhideWhenUsed/>
    <w:rsid w:val="001779C7"/>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wfitzpatrick@neptunecitynj.com?subject=Assessment%20Demonstration%20Program%20-%20Tax%20Appeals" TargetMode="Externa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Gi4fH6QZo349+42omCPhYZzdCA==">CgMxLjAyDmguOHhuYzR5cHVtM2JkOAByITFIQ0pmUEVfVGpFUUgyTDdMN2NleUwxRnpIMWR2YWs3UQ==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621</Words>
  <Characters>3544</Characters>
  <Application>Microsoft Office Word</Application>
  <DocSecurity>0</DocSecurity>
  <Lines>29</Lines>
  <Paragraphs>8</Paragraphs>
  <ScaleCrop>false</ScaleCrop>
  <Company/>
  <LinksUpToDate>false</LinksUpToDate>
  <CharactersWithSpaces>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Fitzpatrick</dc:creator>
  <cp:lastModifiedBy>Rachel McGreevy</cp:lastModifiedBy>
  <cp:revision>2</cp:revision>
  <dcterms:created xsi:type="dcterms:W3CDTF">2025-12-12T15:12:00Z</dcterms:created>
  <dcterms:modified xsi:type="dcterms:W3CDTF">2025-12-12T15:12:00Z</dcterms:modified>
</cp:coreProperties>
</file>